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ED2B" w14:textId="77777777" w:rsidR="0015246B" w:rsidRDefault="0015246B" w:rsidP="00527AE4">
      <w:pPr>
        <w:pStyle w:val="BodyText"/>
        <w:spacing w:before="1"/>
      </w:pPr>
    </w:p>
    <w:p w14:paraId="62584694" w14:textId="77777777" w:rsidR="003379E8" w:rsidRDefault="003379E8" w:rsidP="00527AE4">
      <w:pPr>
        <w:pStyle w:val="BodyText"/>
        <w:spacing w:before="1"/>
      </w:pPr>
    </w:p>
    <w:p w14:paraId="6AF9CE90" w14:textId="3B6BF827" w:rsidR="00A76DF1" w:rsidRDefault="007C3FC6" w:rsidP="00A76DF1">
      <w:pPr>
        <w:pStyle w:val="BodyText"/>
        <w:rPr>
          <w:b/>
          <w:bCs/>
        </w:rPr>
      </w:pPr>
      <w:r w:rsidRPr="007C3FC6">
        <w:rPr>
          <w:b/>
          <w:bCs/>
        </w:rPr>
        <w:t>Subject:</w:t>
      </w:r>
      <w:r>
        <w:rPr>
          <w:b/>
          <w:bCs/>
        </w:rPr>
        <w:t xml:space="preserve"> </w:t>
      </w:r>
      <w:r w:rsidR="007A15AC" w:rsidRPr="007A15AC">
        <w:rPr>
          <w:b/>
          <w:bCs/>
        </w:rPr>
        <w:t>New Grade A Offices Coming to RAK | Pre-Leasing Now Open</w:t>
      </w:r>
    </w:p>
    <w:p w14:paraId="4515096C" w14:textId="77777777" w:rsidR="007A15AC" w:rsidRDefault="007A15AC" w:rsidP="00A76DF1">
      <w:pPr>
        <w:pStyle w:val="BodyText"/>
      </w:pPr>
    </w:p>
    <w:p w14:paraId="487B758D" w14:textId="341395FB" w:rsidR="007C3FC6" w:rsidRDefault="0034762B" w:rsidP="007C3FC6">
      <w:pPr>
        <w:pStyle w:val="BodyText"/>
      </w:pPr>
      <w:r>
        <w:t>RAKEZ is</w:t>
      </w:r>
      <w:r w:rsidR="007C3FC6">
        <w:t xml:space="preserve"> pleased to introduce RAK Central Square, Ras Al Khaimah’s first new Grade A office development, setting a new benchmark for commercial workspace within the Emirate.</w:t>
      </w:r>
    </w:p>
    <w:p w14:paraId="43596B5A" w14:textId="77777777" w:rsidR="007C3FC6" w:rsidRDefault="007C3FC6" w:rsidP="007C3FC6">
      <w:pPr>
        <w:pStyle w:val="BodyText"/>
      </w:pPr>
    </w:p>
    <w:p w14:paraId="271EC67D" w14:textId="62B177A2" w:rsidR="007A15AC" w:rsidRDefault="007C3FC6" w:rsidP="007C3FC6">
      <w:pPr>
        <w:pStyle w:val="BodyText"/>
      </w:pPr>
      <w:r>
        <w:t>Designed to international best-in-class standards and targeting LEED sustainability accreditation, RAK Central Square has been carefully conceived to meet the needs of the world’s leading organisations. The development will deliver highly efficient Grade A floorplates, set within an exceptional environment of landscaped public realm and vibrant urban spaces.</w:t>
      </w:r>
    </w:p>
    <w:p w14:paraId="184887D2" w14:textId="77777777" w:rsidR="007C3FC6" w:rsidRDefault="007C3FC6" w:rsidP="007C3FC6">
      <w:pPr>
        <w:pStyle w:val="BodyText"/>
      </w:pPr>
    </w:p>
    <w:p w14:paraId="318F4AB2" w14:textId="505C11BA" w:rsidR="007C3FC6" w:rsidRDefault="007C3FC6" w:rsidP="007C3FC6">
      <w:pPr>
        <w:pStyle w:val="BodyText"/>
      </w:pPr>
      <w:r>
        <w:t>Located at the very heart of RAK Central, the Emirate’s flagship master-planned district, the project forms part of a dynamic mixed-use community that brings together business, culture,</w:t>
      </w:r>
      <w:r w:rsidR="007A15AC">
        <w:t xml:space="preserve"> </w:t>
      </w:r>
      <w:r>
        <w:t xml:space="preserve">and residential living in a single human-centric destination. </w:t>
      </w:r>
      <w:r w:rsidR="007A15AC">
        <w:t>Centered</w:t>
      </w:r>
      <w:r>
        <w:t xml:space="preserve"> around a lively town square, RAK Central is designed to promote wellbeing, connectivity and a true walk-to-work lifestyle.</w:t>
      </w:r>
    </w:p>
    <w:p w14:paraId="61316C79" w14:textId="77777777" w:rsidR="007C3FC6" w:rsidRDefault="007C3FC6" w:rsidP="007C3FC6">
      <w:pPr>
        <w:pStyle w:val="BodyText"/>
      </w:pPr>
    </w:p>
    <w:p w14:paraId="401B47AE" w14:textId="77777777" w:rsidR="007C3FC6" w:rsidRDefault="007C3FC6" w:rsidP="007C3FC6">
      <w:pPr>
        <w:pStyle w:val="BodyText"/>
      </w:pPr>
      <w:r>
        <w:t>RAK Central Square sits alongside a number of landmark developments within the district, including the upcoming 361-key Radisson Blu Hotel and over 4,000 premium residential homes. As the commercial centre of this emerging hub, the scheme will introduce the region’s first purpose-built Grade A office spaces, helping position RAK Central as the Emirate’s most progressive and future-focused business destination.</w:t>
      </w:r>
    </w:p>
    <w:p w14:paraId="7199C35D" w14:textId="77777777" w:rsidR="007C3FC6" w:rsidRDefault="007C3FC6" w:rsidP="007C3FC6">
      <w:pPr>
        <w:pStyle w:val="BodyText"/>
      </w:pPr>
    </w:p>
    <w:p w14:paraId="32E8A8DE" w14:textId="77777777" w:rsidR="007C3FC6" w:rsidRDefault="007C3FC6" w:rsidP="007C3FC6">
      <w:pPr>
        <w:pStyle w:val="BodyText"/>
      </w:pPr>
      <w:r>
        <w:t>Now available for pre-leasing, RAK Central Square will offer premium and flexible office accommodation suited to organisations of all sizes, from innovative start-ups and growing scale-ups to global companies seeking a flagship regional presence.</w:t>
      </w:r>
    </w:p>
    <w:p w14:paraId="22A31DA6" w14:textId="77777777" w:rsidR="007C3FC6" w:rsidRDefault="007C3FC6" w:rsidP="007C3FC6">
      <w:pPr>
        <w:pStyle w:val="BodyText"/>
      </w:pPr>
    </w:p>
    <w:p w14:paraId="66B52A57" w14:textId="77777777" w:rsidR="007C3FC6" w:rsidRPr="007A15AC" w:rsidRDefault="007C3FC6" w:rsidP="007C3FC6">
      <w:pPr>
        <w:pStyle w:val="BodyText"/>
        <w:rPr>
          <w:b/>
          <w:bCs/>
        </w:rPr>
      </w:pPr>
      <w:r w:rsidRPr="007A15AC">
        <w:rPr>
          <w:b/>
          <w:bCs/>
        </w:rPr>
        <w:t>Development overview</w:t>
      </w:r>
    </w:p>
    <w:p w14:paraId="4F263EEB" w14:textId="77777777" w:rsidR="007C3FC6" w:rsidRDefault="007C3FC6" w:rsidP="007C3FC6">
      <w:pPr>
        <w:pStyle w:val="BodyText"/>
      </w:pPr>
    </w:p>
    <w:p w14:paraId="0948AC1E" w14:textId="21074F68" w:rsidR="007C3FC6" w:rsidRDefault="007C3FC6" w:rsidP="007A15AC">
      <w:pPr>
        <w:pStyle w:val="BodyText"/>
        <w:numPr>
          <w:ilvl w:val="0"/>
          <w:numId w:val="1"/>
        </w:numPr>
      </w:pPr>
      <w:r>
        <w:t>Five office buildings</w:t>
      </w:r>
    </w:p>
    <w:p w14:paraId="43FFC035" w14:textId="057080FA" w:rsidR="007C3FC6" w:rsidRDefault="007C3FC6" w:rsidP="007A15AC">
      <w:pPr>
        <w:pStyle w:val="BodyText"/>
        <w:numPr>
          <w:ilvl w:val="0"/>
          <w:numId w:val="1"/>
        </w:numPr>
      </w:pPr>
      <w:r>
        <w:t>Approximately 82,000 sq m of Grade A office space</w:t>
      </w:r>
    </w:p>
    <w:p w14:paraId="457D8BC4" w14:textId="4810A979" w:rsidR="007C3FC6" w:rsidRDefault="007C3FC6" w:rsidP="007A15AC">
      <w:pPr>
        <w:pStyle w:val="BodyText"/>
        <w:numPr>
          <w:ilvl w:val="0"/>
          <w:numId w:val="1"/>
        </w:numPr>
      </w:pPr>
      <w:r>
        <w:t>Target completion September 2027</w:t>
      </w:r>
    </w:p>
    <w:p w14:paraId="7C67C839" w14:textId="77777777" w:rsidR="007C3FC6" w:rsidRDefault="007C3FC6" w:rsidP="007C3FC6">
      <w:pPr>
        <w:pStyle w:val="BodyText"/>
      </w:pPr>
    </w:p>
    <w:p w14:paraId="347933BC" w14:textId="77777777" w:rsidR="007C3FC6" w:rsidRDefault="007C3FC6" w:rsidP="007C3FC6">
      <w:pPr>
        <w:pStyle w:val="BodyText"/>
      </w:pPr>
      <w:r>
        <w:t>RAK Central Square is a government-backed joint venture between Marjan and RAKEZ, designed by the globally renowned architects Gensler.</w:t>
      </w:r>
    </w:p>
    <w:p w14:paraId="3621A2A7" w14:textId="77777777" w:rsidR="007A15AC" w:rsidRDefault="007A15AC" w:rsidP="007C3FC6">
      <w:pPr>
        <w:pStyle w:val="BodyText"/>
      </w:pPr>
    </w:p>
    <w:p w14:paraId="4976D75B" w14:textId="0812B4EA" w:rsidR="007C3FC6" w:rsidRDefault="0034762B" w:rsidP="007C3FC6">
      <w:pPr>
        <w:pStyle w:val="BodyText"/>
      </w:pPr>
      <w:r>
        <w:t>W</w:t>
      </w:r>
      <w:r w:rsidR="007C3FC6">
        <w:t>e would be delighted to explore how your business could be accommodated within this landmark development.</w:t>
      </w:r>
    </w:p>
    <w:p w14:paraId="6F308829" w14:textId="77777777" w:rsidR="007C3FC6" w:rsidRDefault="007C3FC6" w:rsidP="007C3FC6">
      <w:pPr>
        <w:pStyle w:val="BodyText"/>
      </w:pPr>
    </w:p>
    <w:p w14:paraId="3F5713E6" w14:textId="50B31E98" w:rsidR="00800F3C" w:rsidRDefault="00800F3C" w:rsidP="007A15AC">
      <w:pPr>
        <w:pStyle w:val="BodyText"/>
      </w:pPr>
    </w:p>
    <w:sectPr w:rsidR="00800F3C" w:rsidSect="00AE797C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880" w:right="1400" w:bottom="280" w:left="134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5726" w14:textId="77777777" w:rsidR="003459B6" w:rsidRDefault="003459B6">
      <w:r>
        <w:separator/>
      </w:r>
    </w:p>
  </w:endnote>
  <w:endnote w:type="continuationSeparator" w:id="0">
    <w:p w14:paraId="60EACFC8" w14:textId="77777777" w:rsidR="003459B6" w:rsidRDefault="0034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D925" w14:textId="2D0E7241" w:rsidR="0034762B" w:rsidRDefault="003476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41EFEC" wp14:editId="3D9477E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58854601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4936C" w14:textId="1C484E0F" w:rsidR="0034762B" w:rsidRPr="0034762B" w:rsidRDefault="0034762B" w:rsidP="003476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476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1EF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6.9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D74936C" w14:textId="1C484E0F" w:rsidR="0034762B" w:rsidRPr="0034762B" w:rsidRDefault="0034762B" w:rsidP="0034762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4762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B43E" w14:textId="4ED342AE" w:rsidR="0034762B" w:rsidRDefault="003476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B1DC56" wp14:editId="59F5AE5D">
              <wp:simplePos x="852488" y="9896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1593672958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F19DD" w14:textId="1ACFDD8C" w:rsidR="0034762B" w:rsidRPr="0034762B" w:rsidRDefault="0034762B" w:rsidP="003476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476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1DC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6.9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73F19DD" w14:textId="1ACFDD8C" w:rsidR="0034762B" w:rsidRPr="0034762B" w:rsidRDefault="0034762B" w:rsidP="0034762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4762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552D" w14:textId="746E5034" w:rsidR="0034762B" w:rsidRDefault="003476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07CAFC" wp14:editId="45F42F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45440"/>
              <wp:effectExtent l="0" t="0" r="6985" b="0"/>
              <wp:wrapNone/>
              <wp:docPr id="1102132766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FE779" w14:textId="64CFF4F5" w:rsidR="0034762B" w:rsidRPr="0034762B" w:rsidRDefault="0034762B" w:rsidP="003476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476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7CA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6.9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C2FE779" w14:textId="64CFF4F5" w:rsidR="0034762B" w:rsidRPr="0034762B" w:rsidRDefault="0034762B" w:rsidP="0034762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4762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31E6" w14:textId="77777777" w:rsidR="003459B6" w:rsidRDefault="003459B6">
      <w:r>
        <w:separator/>
      </w:r>
    </w:p>
  </w:footnote>
  <w:footnote w:type="continuationSeparator" w:id="0">
    <w:p w14:paraId="5898C8C6" w14:textId="77777777" w:rsidR="003459B6" w:rsidRDefault="0034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3229" w14:textId="77777777" w:rsidR="00AE797C" w:rsidRDefault="00AE797C">
    <w:pPr>
      <w:pStyle w:val="BodyText"/>
      <w:spacing w:line="14" w:lineRule="auto"/>
      <w:rPr>
        <w:sz w:val="20"/>
      </w:rPr>
    </w:pPr>
  </w:p>
  <w:p w14:paraId="2DF815E5" w14:textId="77777777" w:rsidR="00AE797C" w:rsidRDefault="00AE797C">
    <w:pPr>
      <w:pStyle w:val="BodyText"/>
      <w:spacing w:line="14" w:lineRule="auto"/>
      <w:rPr>
        <w:sz w:val="20"/>
      </w:rPr>
    </w:pPr>
  </w:p>
  <w:p w14:paraId="2536DCDF" w14:textId="4B8423FE" w:rsidR="00AE797C" w:rsidRDefault="00AE797C">
    <w:pPr>
      <w:pStyle w:val="BodyText"/>
      <w:spacing w:line="14" w:lineRule="auto"/>
      <w:rPr>
        <w:sz w:val="20"/>
      </w:rPr>
    </w:pPr>
  </w:p>
  <w:p w14:paraId="34ACF737" w14:textId="77777777" w:rsidR="00AE797C" w:rsidRDefault="00AE797C">
    <w:pPr>
      <w:pStyle w:val="BodyText"/>
      <w:spacing w:line="14" w:lineRule="auto"/>
      <w:rPr>
        <w:sz w:val="20"/>
      </w:rPr>
    </w:pPr>
  </w:p>
  <w:p w14:paraId="68016FA2" w14:textId="77777777" w:rsidR="00AE797C" w:rsidRDefault="00AE797C">
    <w:pPr>
      <w:pStyle w:val="BodyText"/>
      <w:spacing w:line="14" w:lineRule="auto"/>
      <w:rPr>
        <w:sz w:val="20"/>
      </w:rPr>
    </w:pPr>
  </w:p>
  <w:p w14:paraId="09145E50" w14:textId="77777777" w:rsidR="00AE797C" w:rsidRDefault="00AE797C">
    <w:pPr>
      <w:pStyle w:val="BodyText"/>
      <w:spacing w:line="14" w:lineRule="auto"/>
      <w:rPr>
        <w:sz w:val="20"/>
      </w:rPr>
    </w:pPr>
  </w:p>
  <w:p w14:paraId="6B356B70" w14:textId="77777777" w:rsidR="00AE797C" w:rsidRDefault="00AE797C">
    <w:pPr>
      <w:pStyle w:val="BodyText"/>
      <w:spacing w:line="14" w:lineRule="auto"/>
      <w:rPr>
        <w:sz w:val="20"/>
      </w:rPr>
    </w:pPr>
  </w:p>
  <w:p w14:paraId="5119B92A" w14:textId="77777777" w:rsidR="00AE797C" w:rsidRDefault="00AE797C">
    <w:pPr>
      <w:pStyle w:val="BodyText"/>
      <w:spacing w:line="14" w:lineRule="auto"/>
      <w:rPr>
        <w:sz w:val="20"/>
      </w:rPr>
    </w:pPr>
  </w:p>
  <w:p w14:paraId="7908513C" w14:textId="77777777" w:rsidR="00AE797C" w:rsidRDefault="00AE797C">
    <w:pPr>
      <w:pStyle w:val="BodyText"/>
      <w:spacing w:line="14" w:lineRule="auto"/>
      <w:rPr>
        <w:sz w:val="20"/>
      </w:rPr>
    </w:pPr>
  </w:p>
  <w:p w14:paraId="502F6F74" w14:textId="77777777" w:rsidR="00AE797C" w:rsidRDefault="00AE797C">
    <w:pPr>
      <w:pStyle w:val="BodyText"/>
      <w:spacing w:line="14" w:lineRule="auto"/>
      <w:rPr>
        <w:sz w:val="20"/>
      </w:rPr>
    </w:pPr>
  </w:p>
  <w:p w14:paraId="3DADDE85" w14:textId="77777777" w:rsidR="00AE797C" w:rsidRDefault="00AE797C">
    <w:pPr>
      <w:pStyle w:val="BodyText"/>
      <w:spacing w:line="14" w:lineRule="auto"/>
      <w:rPr>
        <w:sz w:val="20"/>
      </w:rPr>
    </w:pPr>
  </w:p>
  <w:p w14:paraId="3E7F7870" w14:textId="77777777" w:rsidR="00AE797C" w:rsidRDefault="00AE797C">
    <w:pPr>
      <w:pStyle w:val="BodyText"/>
      <w:spacing w:line="14" w:lineRule="auto"/>
      <w:rPr>
        <w:sz w:val="20"/>
      </w:rPr>
    </w:pPr>
  </w:p>
  <w:p w14:paraId="116475CB" w14:textId="77777777" w:rsidR="00AE797C" w:rsidRDefault="00AE797C">
    <w:pPr>
      <w:pStyle w:val="BodyText"/>
      <w:spacing w:line="14" w:lineRule="auto"/>
      <w:rPr>
        <w:sz w:val="20"/>
      </w:rPr>
    </w:pPr>
  </w:p>
  <w:p w14:paraId="00EA763B" w14:textId="77777777" w:rsidR="00AE797C" w:rsidRDefault="00AE797C">
    <w:pPr>
      <w:pStyle w:val="BodyText"/>
      <w:spacing w:line="14" w:lineRule="auto"/>
      <w:rPr>
        <w:sz w:val="20"/>
      </w:rPr>
    </w:pPr>
  </w:p>
  <w:p w14:paraId="016B5089" w14:textId="77777777" w:rsidR="00AE797C" w:rsidRDefault="00AE797C">
    <w:pPr>
      <w:pStyle w:val="BodyText"/>
      <w:spacing w:line="14" w:lineRule="auto"/>
      <w:rPr>
        <w:sz w:val="20"/>
      </w:rPr>
    </w:pPr>
  </w:p>
  <w:p w14:paraId="6B620B63" w14:textId="77777777" w:rsidR="00AE797C" w:rsidRDefault="00AE797C">
    <w:pPr>
      <w:pStyle w:val="BodyText"/>
      <w:spacing w:line="14" w:lineRule="auto"/>
      <w:rPr>
        <w:sz w:val="20"/>
      </w:rPr>
    </w:pPr>
  </w:p>
  <w:p w14:paraId="79E758AE" w14:textId="77777777" w:rsidR="00AE797C" w:rsidRDefault="00AE797C">
    <w:pPr>
      <w:pStyle w:val="BodyText"/>
      <w:spacing w:line="14" w:lineRule="auto"/>
      <w:rPr>
        <w:sz w:val="20"/>
      </w:rPr>
    </w:pPr>
  </w:p>
  <w:p w14:paraId="6C3EBB66" w14:textId="77777777" w:rsidR="00AE797C" w:rsidRDefault="00AE797C">
    <w:pPr>
      <w:pStyle w:val="BodyText"/>
      <w:spacing w:line="14" w:lineRule="auto"/>
      <w:rPr>
        <w:sz w:val="20"/>
      </w:rPr>
    </w:pPr>
  </w:p>
  <w:p w14:paraId="760AD5C2" w14:textId="77777777" w:rsidR="00AE797C" w:rsidRDefault="00AE797C">
    <w:pPr>
      <w:pStyle w:val="BodyText"/>
      <w:spacing w:line="14" w:lineRule="auto"/>
      <w:rPr>
        <w:sz w:val="20"/>
      </w:rPr>
    </w:pPr>
  </w:p>
  <w:p w14:paraId="4E3FEA2A" w14:textId="77777777" w:rsidR="00AE797C" w:rsidRDefault="00AE797C">
    <w:pPr>
      <w:pStyle w:val="BodyText"/>
      <w:spacing w:line="14" w:lineRule="auto"/>
      <w:rPr>
        <w:sz w:val="20"/>
      </w:rPr>
    </w:pPr>
  </w:p>
  <w:p w14:paraId="00A4428A" w14:textId="77777777" w:rsidR="00AE797C" w:rsidRDefault="00AE797C">
    <w:pPr>
      <w:pStyle w:val="BodyText"/>
      <w:spacing w:line="14" w:lineRule="auto"/>
      <w:rPr>
        <w:sz w:val="20"/>
      </w:rPr>
    </w:pPr>
  </w:p>
  <w:p w14:paraId="6E989EA0" w14:textId="77777777" w:rsidR="00AE797C" w:rsidRDefault="00AE797C">
    <w:pPr>
      <w:pStyle w:val="BodyText"/>
      <w:spacing w:line="14" w:lineRule="auto"/>
      <w:rPr>
        <w:sz w:val="20"/>
      </w:rPr>
    </w:pPr>
  </w:p>
  <w:p w14:paraId="594C4631" w14:textId="77777777" w:rsidR="00AE797C" w:rsidRDefault="00AE797C">
    <w:pPr>
      <w:pStyle w:val="BodyText"/>
      <w:spacing w:line="14" w:lineRule="auto"/>
      <w:rPr>
        <w:sz w:val="20"/>
      </w:rPr>
    </w:pPr>
  </w:p>
  <w:p w14:paraId="19ED0A40" w14:textId="77777777" w:rsidR="00AE797C" w:rsidRDefault="00AE797C">
    <w:pPr>
      <w:pStyle w:val="BodyText"/>
      <w:spacing w:line="14" w:lineRule="auto"/>
      <w:rPr>
        <w:sz w:val="20"/>
      </w:rPr>
    </w:pPr>
  </w:p>
  <w:p w14:paraId="131E28D9" w14:textId="77777777" w:rsidR="00AE797C" w:rsidRDefault="00AE797C">
    <w:pPr>
      <w:pStyle w:val="BodyText"/>
      <w:spacing w:line="14" w:lineRule="auto"/>
      <w:rPr>
        <w:sz w:val="20"/>
      </w:rPr>
    </w:pPr>
  </w:p>
  <w:p w14:paraId="50F9D220" w14:textId="77777777" w:rsidR="00AE797C" w:rsidRDefault="00AE797C">
    <w:pPr>
      <w:pStyle w:val="BodyText"/>
      <w:spacing w:line="14" w:lineRule="auto"/>
      <w:rPr>
        <w:sz w:val="20"/>
      </w:rPr>
    </w:pPr>
  </w:p>
  <w:p w14:paraId="44269805" w14:textId="77777777" w:rsidR="00AE797C" w:rsidRDefault="00AE797C">
    <w:pPr>
      <w:pStyle w:val="BodyText"/>
      <w:spacing w:line="14" w:lineRule="auto"/>
      <w:rPr>
        <w:sz w:val="20"/>
      </w:rPr>
    </w:pPr>
  </w:p>
  <w:p w14:paraId="5B6BF60C" w14:textId="77777777" w:rsidR="00AE797C" w:rsidRDefault="00AE797C">
    <w:pPr>
      <w:pStyle w:val="BodyText"/>
      <w:spacing w:line="14" w:lineRule="auto"/>
      <w:rPr>
        <w:sz w:val="20"/>
      </w:rPr>
    </w:pPr>
  </w:p>
  <w:p w14:paraId="25C583A9" w14:textId="77777777" w:rsidR="00AE797C" w:rsidRDefault="00AE797C">
    <w:pPr>
      <w:pStyle w:val="BodyText"/>
      <w:spacing w:line="14" w:lineRule="auto"/>
      <w:rPr>
        <w:sz w:val="20"/>
      </w:rPr>
    </w:pPr>
  </w:p>
  <w:p w14:paraId="594A8505" w14:textId="77777777" w:rsidR="00AE797C" w:rsidRDefault="00AE797C">
    <w:pPr>
      <w:pStyle w:val="BodyText"/>
      <w:spacing w:line="14" w:lineRule="auto"/>
      <w:rPr>
        <w:sz w:val="20"/>
      </w:rPr>
    </w:pPr>
  </w:p>
  <w:p w14:paraId="50182E57" w14:textId="77777777" w:rsidR="00AE797C" w:rsidRDefault="00AE797C">
    <w:pPr>
      <w:pStyle w:val="BodyText"/>
      <w:spacing w:line="14" w:lineRule="auto"/>
      <w:rPr>
        <w:sz w:val="20"/>
      </w:rPr>
    </w:pPr>
  </w:p>
  <w:p w14:paraId="58A28DAC" w14:textId="77777777" w:rsidR="00AE797C" w:rsidRDefault="00AE797C">
    <w:pPr>
      <w:pStyle w:val="BodyText"/>
      <w:spacing w:line="14" w:lineRule="auto"/>
      <w:rPr>
        <w:sz w:val="20"/>
      </w:rPr>
    </w:pPr>
  </w:p>
  <w:p w14:paraId="040AAF41" w14:textId="77777777" w:rsidR="00AE797C" w:rsidRDefault="00AE797C">
    <w:pPr>
      <w:pStyle w:val="BodyText"/>
      <w:spacing w:line="14" w:lineRule="auto"/>
      <w:rPr>
        <w:sz w:val="20"/>
      </w:rPr>
    </w:pPr>
  </w:p>
  <w:p w14:paraId="01A0842D" w14:textId="77777777" w:rsidR="0005663E" w:rsidRDefault="0005663E">
    <w:pPr>
      <w:pStyle w:val="BodyText"/>
      <w:spacing w:line="14" w:lineRule="auto"/>
      <w:rPr>
        <w:sz w:val="20"/>
      </w:rPr>
    </w:pPr>
  </w:p>
  <w:p w14:paraId="1B02045C" w14:textId="77777777" w:rsidR="0005663E" w:rsidRDefault="0005663E">
    <w:pPr>
      <w:pStyle w:val="BodyText"/>
      <w:spacing w:line="14" w:lineRule="auto"/>
      <w:rPr>
        <w:sz w:val="20"/>
      </w:rPr>
    </w:pPr>
  </w:p>
  <w:p w14:paraId="68403044" w14:textId="77777777" w:rsidR="00AE797C" w:rsidRDefault="00AE797C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C78EB"/>
    <w:multiLevelType w:val="hybridMultilevel"/>
    <w:tmpl w:val="319473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71700"/>
    <w:multiLevelType w:val="hybridMultilevel"/>
    <w:tmpl w:val="6E8C732E"/>
    <w:lvl w:ilvl="0" w:tplc="F85A597C">
      <w:numFmt w:val="bullet"/>
      <w:lvlText w:val="•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884879">
    <w:abstractNumId w:val="0"/>
  </w:num>
  <w:num w:numId="2" w16cid:durableId="16515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3C"/>
    <w:rsid w:val="0005663E"/>
    <w:rsid w:val="000A112E"/>
    <w:rsid w:val="00103742"/>
    <w:rsid w:val="0015246B"/>
    <w:rsid w:val="00152F5D"/>
    <w:rsid w:val="0024280E"/>
    <w:rsid w:val="002F2D8B"/>
    <w:rsid w:val="00301404"/>
    <w:rsid w:val="003379E8"/>
    <w:rsid w:val="003459B6"/>
    <w:rsid w:val="0034762B"/>
    <w:rsid w:val="00410D61"/>
    <w:rsid w:val="00527AE4"/>
    <w:rsid w:val="007A15AC"/>
    <w:rsid w:val="007C3FC6"/>
    <w:rsid w:val="00800F3C"/>
    <w:rsid w:val="00813880"/>
    <w:rsid w:val="008D4B66"/>
    <w:rsid w:val="008E0F29"/>
    <w:rsid w:val="00A76DF1"/>
    <w:rsid w:val="00AE797C"/>
    <w:rsid w:val="00B81AF1"/>
    <w:rsid w:val="00C44983"/>
    <w:rsid w:val="00CE108C"/>
    <w:rsid w:val="00EC7E15"/>
    <w:rsid w:val="00F06A63"/>
    <w:rsid w:val="00F26AF9"/>
    <w:rsid w:val="00FE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CA25C"/>
  <w15:docId w15:val="{84F98781-0406-4964-9211-1421673F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26A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AF9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F26A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AF9"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24e54c5-53ae-4f53-a4be-a779ac713318}" enabled="1" method="Standard" siteId="{67027f44-4b7a-4227-81a8-f24e869ef61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Greysen Cone</dc:creator>
  <cp:lastModifiedBy>Lujain Wadi</cp:lastModifiedBy>
  <cp:revision>2</cp:revision>
  <dcterms:created xsi:type="dcterms:W3CDTF">2026-04-14T10:50:00Z</dcterms:created>
  <dcterms:modified xsi:type="dcterms:W3CDTF">2026-04-14T10:50:00Z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for Microsoft 365</vt:lpwstr>
  </property>
  <property fmtid="{D5CDD505-2E9C-101B-9397-08002B2CF9AE}" pid="6" name="ClassificationContentMarkingFooterShapeIds">
    <vt:lpwstr>41b1361e,23147fde,5efd84fe</vt:lpwstr>
  </property>
  <property fmtid="{D5CDD505-2E9C-101B-9397-08002B2CF9AE}" pid="7" name="ClassificationContentMarkingFooterFontProps">
    <vt:lpwstr>#ff0000,10,Aptos</vt:lpwstr>
  </property>
  <property fmtid="{D5CDD505-2E9C-101B-9397-08002B2CF9AE}" pid="8" name="ClassificationContentMarkingFooterText">
    <vt:lpwstr>CONFIDENTIAL</vt:lpwstr>
  </property>
</Properties>
</file>